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34" w:rsidRPr="00952680" w:rsidRDefault="00453834" w:rsidP="00952680">
      <w:pPr>
        <w:rPr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-29.55pt;margin-top:103.15pt;width:518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"/>
        </w:pict>
      </w:r>
      <w:r w:rsidRPr="006A3073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шапка для фирменного бланка1" style="width:402.75pt;height:106.5pt;visibility:visible">
            <v:imagedata r:id="rId6" o:title=""/>
          </v:shape>
        </w:pict>
      </w:r>
    </w:p>
    <w:p w:rsidR="00453834" w:rsidRPr="00952680" w:rsidRDefault="00453834" w:rsidP="00952680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952680">
        <w:rPr>
          <w:rFonts w:ascii="Times New Roman" w:eastAsia="MS Mincho" w:hAnsi="Times New Roman"/>
          <w:b/>
          <w:i/>
          <w:iCs/>
          <w:sz w:val="24"/>
          <w:szCs w:val="24"/>
          <w:lang w:eastAsia="ja-JP"/>
        </w:rPr>
        <w:t>ПЕРЕВОД С АНГЛИЙСКОГО ЯЗЫКА НА РУССКИЙ ЯЗЫК</w:t>
      </w:r>
    </w:p>
    <w:p w:rsidR="00453834" w:rsidRDefault="00453834" w:rsidP="00693A05">
      <w:pPr>
        <w:spacing w:before="240"/>
      </w:pPr>
      <w:r>
        <w:t>Перевод БиСиПиЭлАй</w:t>
      </w:r>
      <w:r w:rsidRPr="00693A05">
        <w:t>(</w:t>
      </w:r>
      <w:r>
        <w:rPr>
          <w:lang w:val="en-US"/>
        </w:rPr>
        <w:t>BCPLI</w:t>
      </w:r>
      <w:r w:rsidRPr="00693A05">
        <w:t>)</w:t>
      </w:r>
    </w:p>
    <w:p w:rsidR="00453834" w:rsidRDefault="00453834" w:rsidP="00693A05">
      <w:pPr>
        <w:spacing w:before="240"/>
        <w:jc w:val="right"/>
      </w:pPr>
      <w:r>
        <w:t>«ОДОБРЕНО»</w:t>
      </w:r>
    </w:p>
    <w:p w:rsidR="00453834" w:rsidRDefault="00453834" w:rsidP="00693A05">
      <w:pPr>
        <w:spacing w:before="240"/>
        <w:jc w:val="right"/>
      </w:pPr>
      <w:r>
        <w:t>А.Ф. Цыб, Директор,</w:t>
      </w:r>
    </w:p>
    <w:p w:rsidR="00453834" w:rsidRDefault="00453834" w:rsidP="00693A05">
      <w:pPr>
        <w:spacing w:before="240"/>
        <w:jc w:val="right"/>
      </w:pPr>
      <w:r>
        <w:t xml:space="preserve">Академик Российской Академии Медицинских Наук, Профессор 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Медицинского радиологического научного центра РАМН</w:t>
      </w:r>
    </w:p>
    <w:p w:rsidR="00453834" w:rsidRDefault="00453834" w:rsidP="00693A05">
      <w:pPr>
        <w:spacing w:before="240"/>
        <w:jc w:val="right"/>
      </w:pPr>
      <w:r>
        <w:t>Подпись</w:t>
      </w:r>
    </w:p>
    <w:p w:rsidR="00453834" w:rsidRDefault="00453834" w:rsidP="00693A05">
      <w:pPr>
        <w:spacing w:before="240"/>
        <w:jc w:val="right"/>
      </w:pPr>
      <w:r>
        <w:t>25 мая 1998</w:t>
      </w:r>
    </w:p>
    <w:p w:rsidR="00453834" w:rsidRDefault="00453834" w:rsidP="00693A05">
      <w:pPr>
        <w:spacing w:before="240"/>
        <w:jc w:val="right"/>
      </w:pPr>
      <w:r>
        <w:t>Официальная печать</w:t>
      </w:r>
    </w:p>
    <w:p w:rsidR="00453834" w:rsidRDefault="00453834" w:rsidP="00693A05">
      <w:pPr>
        <w:spacing w:before="240"/>
        <w:jc w:val="center"/>
      </w:pPr>
      <w:r>
        <w:t>ОТЧЕТ</w:t>
      </w:r>
    </w:p>
    <w:p w:rsidR="00453834" w:rsidRDefault="00453834" w:rsidP="00693A05">
      <w:pPr>
        <w:spacing w:before="240"/>
        <w:jc w:val="center"/>
      </w:pPr>
      <w:r>
        <w:t>О клинических исследованиях Препарата «Травяной чай»</w:t>
      </w:r>
    </w:p>
    <w:p w:rsidR="00453834" w:rsidRDefault="00453834" w:rsidP="00693A05">
      <w:pPr>
        <w:spacing w:before="240"/>
        <w:jc w:val="center"/>
      </w:pPr>
      <w:r>
        <w:t>(ФЛОР-ЭССЕНС (</w:t>
      </w:r>
      <w:r>
        <w:rPr>
          <w:lang w:val="en-US"/>
        </w:rPr>
        <w:t>FLOR</w:t>
      </w:r>
      <w:r w:rsidRPr="00314A2C">
        <w:t xml:space="preserve"> - </w:t>
      </w:r>
      <w:r>
        <w:rPr>
          <w:lang w:val="en-US"/>
        </w:rPr>
        <w:t>ESSENCE</w:t>
      </w:r>
      <w:r>
        <w:t>)</w:t>
      </w:r>
      <w:r w:rsidRPr="00314A2C">
        <w:t xml:space="preserve">, </w:t>
      </w:r>
      <w:r>
        <w:t>Производитель: Компания «Флора», Канада)</w:t>
      </w: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Default="00453834" w:rsidP="00693A05">
      <w:pPr>
        <w:spacing w:before="240"/>
        <w:jc w:val="center"/>
      </w:pPr>
    </w:p>
    <w:p w:rsidR="00453834" w:rsidRPr="004D2BB9" w:rsidRDefault="00453834" w:rsidP="00693A05">
      <w:pPr>
        <w:spacing w:before="240"/>
        <w:jc w:val="center"/>
        <w:rPr>
          <w:lang w:val="en-US"/>
        </w:rPr>
      </w:pPr>
      <w:r>
        <w:t>Обнинск</w:t>
      </w:r>
      <w:r w:rsidRPr="004D2BB9">
        <w:rPr>
          <w:lang w:val="en-US"/>
        </w:rPr>
        <w:t>, 1998</w:t>
      </w:r>
    </w:p>
    <w:p w:rsidR="00453834" w:rsidRPr="004D2BB9" w:rsidRDefault="00453834" w:rsidP="00693A05">
      <w:pPr>
        <w:spacing w:before="240"/>
        <w:jc w:val="center"/>
        <w:rPr>
          <w:lang w:val="en-US"/>
        </w:rPr>
      </w:pPr>
    </w:p>
    <w:p w:rsidR="00453834" w:rsidRPr="004D2BB9" w:rsidRDefault="00453834" w:rsidP="00314A2C">
      <w:pPr>
        <w:spacing w:before="240"/>
        <w:rPr>
          <w:lang w:val="en-US"/>
        </w:rPr>
      </w:pPr>
      <w:r>
        <w:t>ФЛОР</w:t>
      </w:r>
      <w:r w:rsidRPr="004D2BB9">
        <w:rPr>
          <w:lang w:val="en-US"/>
        </w:rPr>
        <w:t>-</w:t>
      </w:r>
      <w:r>
        <w:t>ЭССЕНС</w:t>
      </w:r>
      <w:r w:rsidRPr="004D2BB9">
        <w:rPr>
          <w:lang w:val="en-US"/>
        </w:rPr>
        <w:t xml:space="preserve"> (</w:t>
      </w:r>
      <w:r>
        <w:rPr>
          <w:lang w:val="en-US"/>
        </w:rPr>
        <w:t>FLOR</w:t>
      </w:r>
      <w:r w:rsidRPr="004D2BB9">
        <w:rPr>
          <w:lang w:val="en-US"/>
        </w:rPr>
        <w:t xml:space="preserve"> - </w:t>
      </w:r>
      <w:r>
        <w:rPr>
          <w:lang w:val="en-US"/>
        </w:rPr>
        <w:t>ESSENCE</w:t>
      </w:r>
      <w:r w:rsidRPr="004D2BB9">
        <w:rPr>
          <w:lang w:val="en-US"/>
        </w:rPr>
        <w:t>)</w:t>
      </w:r>
    </w:p>
    <w:p w:rsidR="00453834" w:rsidRDefault="00453834" w:rsidP="00314A2C">
      <w:pPr>
        <w:spacing w:before="240"/>
        <w:jc w:val="both"/>
      </w:pPr>
      <w:r>
        <w:t>Лекарственное средство на основе трав ФЛОР-ЭССЕНС (</w:t>
      </w:r>
      <w:r>
        <w:rPr>
          <w:lang w:val="en-US"/>
        </w:rPr>
        <w:t>FLOR</w:t>
      </w:r>
      <w:r w:rsidRPr="00314A2C">
        <w:t xml:space="preserve"> - </w:t>
      </w:r>
      <w:r>
        <w:rPr>
          <w:lang w:val="en-US"/>
        </w:rPr>
        <w:t>ESSENCE</w:t>
      </w:r>
      <w:r>
        <w:t xml:space="preserve">) (или «Травяной чай») – это отвар (водный раствор), изготовленный из смеси восьми видов лекарственных растений: корня лопуха, ревеня, листьев щавеля, вяза, водяного кресса, ламинарии, кникуса аптечного, клевера лугового.Препарат производится Компанией «Флора» (Канада). Препарат содержит биологически активные вещества: флавоноиды, дубильные вещества, полисахариды, органические кислоты, йод, хлорид калия, хлорид натрия, и другие компоненты, ответственные за процессы окисления и восстановления; активацию обмена белков, жиров и углеводов; увеличение защитных иммунобиологических  сил организма, а также активации роста и развития в костных и мышечных тканях; укрепление сосудистой системы.  </w:t>
      </w:r>
    </w:p>
    <w:p w:rsidR="00453834" w:rsidRDefault="00453834" w:rsidP="00314A2C">
      <w:pPr>
        <w:spacing w:before="240"/>
        <w:jc w:val="both"/>
      </w:pPr>
      <w:r>
        <w:t xml:space="preserve">Препарат был протестирован </w:t>
      </w:r>
      <w:r w:rsidRPr="00A03062">
        <w:t>Медицинск</w:t>
      </w:r>
      <w:r>
        <w:t>им</w:t>
      </w:r>
      <w:r w:rsidRPr="00A03062">
        <w:t xml:space="preserve"> радиологическ</w:t>
      </w:r>
      <w:r>
        <w:t>им</w:t>
      </w:r>
      <w:r w:rsidRPr="00A03062">
        <w:t xml:space="preserve"> научн</w:t>
      </w:r>
      <w:r>
        <w:t>ым</w:t>
      </w:r>
      <w:r w:rsidRPr="00A03062">
        <w:t xml:space="preserve"> центр</w:t>
      </w:r>
      <w:r>
        <w:t>ом РАМН. Согласно результатам доклинических испытаний, препарат ФЛОР-ЭССЕНС (</w:t>
      </w:r>
      <w:r>
        <w:rPr>
          <w:lang w:val="en-US"/>
        </w:rPr>
        <w:t>FLOR</w:t>
      </w:r>
      <w:r w:rsidRPr="00314A2C">
        <w:t xml:space="preserve"> - </w:t>
      </w:r>
      <w:r>
        <w:rPr>
          <w:lang w:val="en-US"/>
        </w:rPr>
        <w:t>ESSENCE</w:t>
      </w:r>
      <w:r>
        <w:t>) рекомендуется пациентам с вторичным иммунодефицитом: пациентам, которые страдают хроническим гнойным бронхитом, бронхиальной астмой, пациенты, восстанавливающиеся после полостных операций; во время комплексной терапии онкологических заболеваний; после химиотерапии  и лучевой терапии; в качестве адаптогена во время эмоционального стресса или стресса от физических нагрузок. Препарат рекомендован при таких заболеваниях органов пищеварения, как: язвенный гастрит, язвы луковицы двенадцатиперстной кишки, хронических язвах.</w:t>
      </w:r>
    </w:p>
    <w:p w:rsidR="00453834" w:rsidRDefault="00453834" w:rsidP="00314A2C">
      <w:pPr>
        <w:spacing w:before="240"/>
        <w:jc w:val="both"/>
      </w:pPr>
      <w:r>
        <w:t xml:space="preserve">Препарат был протестирован на 15 пациентах – ликвидаторах </w:t>
      </w:r>
      <w:r w:rsidRPr="00107901">
        <w:t>Аварии на Чернобыльской АЭС</w:t>
      </w:r>
      <w:r>
        <w:t xml:space="preserve"> (1986-1989) – 13 мужчинах и 2 женщинах со следующими заболеваниями: д</w:t>
      </w:r>
      <w:r w:rsidRPr="00107901">
        <w:t>исциркуляторная энцефалопатия</w:t>
      </w:r>
      <w:r>
        <w:t xml:space="preserve">, острая стадия язвы двенадцатиперстной кишки, хронический </w:t>
      </w:r>
      <w:r w:rsidRPr="00107901">
        <w:t>гландулярный гастрит</w:t>
      </w:r>
      <w:r>
        <w:t xml:space="preserve">, хронический колит, хронический бронхит, хронический тиреоидит, остеохондроз позвоночника. Исследователи включили препарат </w:t>
      </w:r>
      <w:r w:rsidRPr="007221BA">
        <w:t>ФЛОР-ЭССЕНС (FLOR - ESSENCE)</w:t>
      </w:r>
      <w:r>
        <w:t xml:space="preserve"> в комплексную программу лечения, назначенную ликвидаторам аварии. Было прописано принимать препарат 2 раза в день по 30 мл (утром – на голодный желудок и перед сном); препарат разводился водой в пропорции 1:1. Курс лечения продолжался 30 дней. Контрольная группа состояла из 10 пациентов – ликвидаторов аварии (мужчин) с </w:t>
      </w:r>
      <w:r w:rsidRPr="00ED04AE">
        <w:t>дисциркуляторн</w:t>
      </w:r>
      <w:r>
        <w:t>ой</w:t>
      </w:r>
      <w:r w:rsidRPr="00ED04AE">
        <w:t xml:space="preserve"> энцефалопати</w:t>
      </w:r>
      <w:r>
        <w:t xml:space="preserve">ей, </w:t>
      </w:r>
      <w:r w:rsidRPr="00ED04AE">
        <w:tab/>
        <w:t>нейроциркуляторн</w:t>
      </w:r>
      <w:r>
        <w:t>ой</w:t>
      </w:r>
      <w:r w:rsidRPr="00ED04AE">
        <w:t xml:space="preserve"> дистони</w:t>
      </w:r>
      <w:r>
        <w:t>ей,</w:t>
      </w:r>
      <w:r w:rsidRPr="00ED04AE">
        <w:t xml:space="preserve"> язв</w:t>
      </w:r>
      <w:r>
        <w:t>ой</w:t>
      </w:r>
      <w:r w:rsidRPr="00ED04AE">
        <w:t xml:space="preserve"> двенадцатиперстной кишки</w:t>
      </w:r>
      <w:r>
        <w:t>,</w:t>
      </w:r>
      <w:r w:rsidRPr="00ED04AE">
        <w:t xml:space="preserve"> хронически</w:t>
      </w:r>
      <w:r>
        <w:t xml:space="preserve">м </w:t>
      </w:r>
      <w:r w:rsidRPr="00ED04AE">
        <w:t>гландулярны</w:t>
      </w:r>
      <w:r>
        <w:t>м</w:t>
      </w:r>
      <w:r w:rsidRPr="00ED04AE">
        <w:t xml:space="preserve"> гастрит</w:t>
      </w:r>
      <w:r>
        <w:t xml:space="preserve">ом, хроническим бронхитом, </w:t>
      </w:r>
      <w:r w:rsidRPr="00ED04AE">
        <w:t>остеохондроз</w:t>
      </w:r>
      <w:r>
        <w:t>ом</w:t>
      </w:r>
      <w:r w:rsidRPr="00ED04AE">
        <w:t xml:space="preserve"> позвоночника</w:t>
      </w:r>
      <w:r>
        <w:t xml:space="preserve">, сердечной ишемией, которые прошли аналогичный комплексный терапевтический курс лечения без применения препарата </w:t>
      </w:r>
      <w:r w:rsidRPr="007221BA">
        <w:t>ФЛОР-ЭССЕНС (FLOR - ESSENCE)</w:t>
      </w:r>
      <w:r>
        <w:t>.</w:t>
      </w:r>
    </w:p>
    <w:p w:rsidR="00453834" w:rsidRDefault="00453834" w:rsidP="00314A2C">
      <w:pPr>
        <w:spacing w:before="240"/>
        <w:jc w:val="both"/>
      </w:pPr>
      <w:r>
        <w:t xml:space="preserve">Исследования показали, что у всех исследуемых пациентов уровень сывороточного иммуноглобулина А и М был в пределах нормы, уровень иммуноглобулина </w:t>
      </w:r>
      <w:r>
        <w:rPr>
          <w:lang w:val="en-US"/>
        </w:rPr>
        <w:t>G</w:t>
      </w:r>
      <w:r>
        <w:t xml:space="preserve">в сыворотке крови было выше нормы. В процессе лечения препаратом концентрация иммуноглобулина А и М не изменилась. При исследовании содержания иммуноглобулина </w:t>
      </w:r>
      <w:r>
        <w:rPr>
          <w:lang w:val="en-US"/>
        </w:rPr>
        <w:t>G</w:t>
      </w:r>
      <w:r>
        <w:t xml:space="preserve"> в сыворотке крови исследователи обнаружили, что его концентрация нормализовалась, при приеме с препаратом </w:t>
      </w:r>
      <w:r w:rsidRPr="007221BA">
        <w:t>ФЛОР-ЭССЕНС (FLOR - ESSENCE)</w:t>
      </w:r>
      <w:r>
        <w:t xml:space="preserve"> (Таблица 01)</w:t>
      </w: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Pr="00E46CA1" w:rsidRDefault="00453834" w:rsidP="00314A2C">
      <w:pPr>
        <w:spacing w:before="240"/>
        <w:jc w:val="both"/>
        <w:rPr>
          <w:b/>
        </w:rPr>
      </w:pPr>
      <w:r w:rsidRPr="00E46CA1">
        <w:rPr>
          <w:b/>
        </w:rPr>
        <w:t>Таблица 01. Динамика</w:t>
      </w:r>
      <w:r>
        <w:rPr>
          <w:b/>
        </w:rPr>
        <w:t xml:space="preserve"> показателей</w:t>
      </w:r>
      <w:r w:rsidRPr="00E46CA1">
        <w:rPr>
          <w:b/>
        </w:rPr>
        <w:t xml:space="preserve"> Гуморального Иммунитета (При лечении препаратом ФЛОР-ЭССЕНС (FLOR - ESSENCE))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870"/>
        <w:gridCol w:w="3191"/>
      </w:tblGrid>
      <w:tr w:rsidR="00453834" w:rsidRPr="006A3073" w:rsidTr="006A3073">
        <w:tc>
          <w:tcPr>
            <w:tcW w:w="3510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>Показатели и значения нормы</w:t>
            </w:r>
          </w:p>
        </w:tc>
        <w:tc>
          <w:tcPr>
            <w:tcW w:w="2870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>До лечения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>После 30 дней лечения</w:t>
            </w:r>
          </w:p>
        </w:tc>
      </w:tr>
      <w:tr w:rsidR="00453834" w:rsidRPr="006A3073" w:rsidTr="006A3073">
        <w:tc>
          <w:tcPr>
            <w:tcW w:w="3510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Иммуноглобулин А г/л ( 0,5 – 2,5)</w:t>
            </w:r>
          </w:p>
        </w:tc>
        <w:tc>
          <w:tcPr>
            <w:tcW w:w="2870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1,7+/-0,3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0,74+/-0,2</w:t>
            </w:r>
          </w:p>
        </w:tc>
      </w:tr>
      <w:tr w:rsidR="00453834" w:rsidRPr="006A3073" w:rsidTr="006A3073">
        <w:tc>
          <w:tcPr>
            <w:tcW w:w="3510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Иммуноглобулин М г/л (0,5 – 2,5)</w:t>
            </w:r>
          </w:p>
        </w:tc>
        <w:tc>
          <w:tcPr>
            <w:tcW w:w="2870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09+/-0,1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1,23+/-0,1</w:t>
            </w:r>
          </w:p>
        </w:tc>
      </w:tr>
      <w:tr w:rsidR="00453834" w:rsidRPr="006A3073" w:rsidTr="006A3073">
        <w:tc>
          <w:tcPr>
            <w:tcW w:w="3510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Иммуноглобулин </w:t>
            </w:r>
            <w:r w:rsidRPr="006A3073">
              <w:rPr>
                <w:lang w:val="en-US"/>
              </w:rPr>
              <w:t xml:space="preserve">G </w:t>
            </w:r>
            <w:r w:rsidRPr="006A3073">
              <w:t>г/л (5 – 15)</w:t>
            </w:r>
          </w:p>
        </w:tc>
        <w:tc>
          <w:tcPr>
            <w:tcW w:w="2870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20,7+/-3,2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9,4+/-0,2</w:t>
            </w:r>
          </w:p>
        </w:tc>
      </w:tr>
    </w:tbl>
    <w:p w:rsidR="00453834" w:rsidRDefault="00453834" w:rsidP="00314A2C">
      <w:pPr>
        <w:spacing w:before="240"/>
        <w:jc w:val="both"/>
      </w:pPr>
      <w:r>
        <w:t xml:space="preserve">Для большинства пациентов было установлено, что до начала курса лечения, показатели, характеризующие состояние клеточного звена иммунитета, изменились (Таблица 02). Было установлено, что количество циркулирующих </w:t>
      </w:r>
      <w:r w:rsidRPr="005B3852">
        <w:t>Т- и В- лимфоцитов</w:t>
      </w:r>
      <w:r>
        <w:t xml:space="preserve"> находилось у нижней границы физиологической нормы и составляло 40-80 и 10-20 процентов, соответственно. </w:t>
      </w:r>
    </w:p>
    <w:p w:rsidR="00453834" w:rsidRDefault="00453834" w:rsidP="00314A2C">
      <w:pPr>
        <w:spacing w:before="240"/>
        <w:jc w:val="both"/>
        <w:rPr>
          <w:b/>
        </w:rPr>
      </w:pPr>
      <w:r w:rsidRPr="00E46CA1">
        <w:rPr>
          <w:b/>
        </w:rPr>
        <w:t>Таблица 0</w:t>
      </w:r>
      <w:r>
        <w:rPr>
          <w:b/>
        </w:rPr>
        <w:t>2</w:t>
      </w:r>
      <w:r w:rsidRPr="00E46CA1">
        <w:rPr>
          <w:b/>
        </w:rPr>
        <w:t>. Динамика</w:t>
      </w:r>
      <w:r>
        <w:rPr>
          <w:b/>
        </w:rPr>
        <w:t xml:space="preserve"> показателейКлеточного</w:t>
      </w:r>
      <w:r w:rsidRPr="00E46CA1">
        <w:rPr>
          <w:b/>
        </w:rPr>
        <w:t xml:space="preserve"> Иммунитета (При лечении препаратом ФЛОР-ЭССЕНС (FLOR - ESSENCE))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011"/>
        <w:gridCol w:w="3191"/>
      </w:tblGrid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 xml:space="preserve">Показатели 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>До лечения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>После 30 дней лечения</w:t>
            </w:r>
          </w:p>
        </w:tc>
      </w:tr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Лейкоциты 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5,5+/-1,2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5,1+/-0,9</w:t>
            </w:r>
          </w:p>
        </w:tc>
      </w:tr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Лимфоциты (%)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33,7+/-3,2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32,5+/-2,9</w:t>
            </w:r>
          </w:p>
        </w:tc>
      </w:tr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Т-лимфоциты (%)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38,9+/-2,7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58,4+/-3,2</w:t>
            </w:r>
          </w:p>
        </w:tc>
      </w:tr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Т-супрессоры (%)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32,4+/-3,9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22,4+/-3,3</w:t>
            </w:r>
          </w:p>
        </w:tc>
      </w:tr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Т-хелперы (%)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36,4+/-1,8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40,6+/-2,3</w:t>
            </w:r>
          </w:p>
        </w:tc>
      </w:tr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Отношение хелперы-супрессоры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11,1+/-0,4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1,8+/-0,3</w:t>
            </w:r>
          </w:p>
        </w:tc>
      </w:tr>
      <w:tr w:rsidR="00453834" w:rsidRPr="006A3073" w:rsidTr="006A3073">
        <w:tc>
          <w:tcPr>
            <w:tcW w:w="336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В-лимфоциты</w:t>
            </w:r>
          </w:p>
        </w:tc>
        <w:tc>
          <w:tcPr>
            <w:tcW w:w="301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11,6+/-1,3</w:t>
            </w:r>
          </w:p>
        </w:tc>
        <w:tc>
          <w:tcPr>
            <w:tcW w:w="319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17,2+/-1,7</w:t>
            </w:r>
          </w:p>
        </w:tc>
      </w:tr>
    </w:tbl>
    <w:p w:rsidR="00453834" w:rsidRDefault="00453834" w:rsidP="00314A2C">
      <w:pPr>
        <w:spacing w:before="240"/>
        <w:jc w:val="both"/>
      </w:pPr>
      <w:r>
        <w:t xml:space="preserve">На фонек некоторого увеличения общего числа циркулирующих Т-лимфоцитов, отклонение от нормы </w:t>
      </w:r>
      <w:r w:rsidRPr="00E463D3">
        <w:t>Т-клеточн</w:t>
      </w:r>
      <w:r>
        <w:t>ой</w:t>
      </w:r>
      <w:r w:rsidRPr="00E463D3">
        <w:t xml:space="preserve"> иммунн</w:t>
      </w:r>
      <w:r>
        <w:t>ой</w:t>
      </w:r>
      <w:r w:rsidRPr="00E463D3">
        <w:t xml:space="preserve"> систем</w:t>
      </w:r>
      <w:r>
        <w:t xml:space="preserve">ы также проявлялось в дисбалансе иммунорегуляторных лимфоцитов. Этот дисбаланс был связан с увеличением числа </w:t>
      </w:r>
      <w:r w:rsidRPr="005B3852">
        <w:t>Т-супрессор</w:t>
      </w:r>
      <w:r>
        <w:t xml:space="preserve">ов, в результате чего отношение хелперы/супрессоры было ниже нежели у клинически здоровых людей, у которых этот показатель находится в пределах 1,5-2,0. Т.о. исследователи установили определенное уменьшения числа </w:t>
      </w:r>
      <w:r w:rsidRPr="005B3852">
        <w:t>Т- и В- лимфоцитов</w:t>
      </w:r>
      <w:r>
        <w:t xml:space="preserve">, а также нарушение иммунорегуляторных клеток у большинства пациентов. В ходе лечения наблюдалось относительное уменьшение уровня </w:t>
      </w:r>
      <w:r w:rsidRPr="005B3852">
        <w:t>Т-супрессор</w:t>
      </w:r>
      <w:r>
        <w:t xml:space="preserve">ов, которые, как известно, замедляют процесс антителогенезеса путем влияния на дифференцировку В-лимфоцитов. Возможно, что в результате описанного выше, под влиянием курса лечения, имел место процесс нормализации количества </w:t>
      </w:r>
      <w:r w:rsidRPr="005B3852">
        <w:t>В- лимфоцитов</w:t>
      </w:r>
      <w:r>
        <w:t xml:space="preserve"> к крови исследуемых пациентов. За счет уменьшения числа </w:t>
      </w:r>
      <w:r w:rsidRPr="005B3852">
        <w:t>Т-супрессор</w:t>
      </w:r>
      <w:r>
        <w:t>ов у пациентов данной группы также имел место процесс нормализации отношения хелперы/супрессоры.</w:t>
      </w:r>
    </w:p>
    <w:p w:rsidR="00453834" w:rsidRDefault="00453834" w:rsidP="00314A2C">
      <w:pPr>
        <w:spacing w:before="240"/>
        <w:jc w:val="both"/>
      </w:pPr>
      <w:r>
        <w:t>Что касается пациентов контрольной группы, то курс лечения не привел к каким-либо значительным изменениям в состоянии иммунитета.</w:t>
      </w:r>
    </w:p>
    <w:p w:rsidR="00453834" w:rsidRDefault="00453834" w:rsidP="00314A2C">
      <w:pPr>
        <w:spacing w:before="240"/>
        <w:jc w:val="both"/>
      </w:pPr>
      <w:r>
        <w:t xml:space="preserve">Результаты исследования показали, что у большинства пациентов, у которых под влиянием курса лечения были обнаружены начальные изменения в индикаторах иммунитета, имело место увеличение числа </w:t>
      </w:r>
      <w:r w:rsidRPr="005B3852">
        <w:t>Т- и В- лимфоцитов</w:t>
      </w:r>
      <w:r>
        <w:t>, а также</w:t>
      </w: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  <w:r>
        <w:t>Нормализация отношения хелперы/супрессоры, которое является показателем нормализации Т-хелперов (клеток, которые стимулируют процесс антителогенезеса), а также Т-суппрессоров (клеток, которые замедляют процесс антителогенезеса путем влияния на дифференцировку В-лимфоцитов).</w:t>
      </w:r>
    </w:p>
    <w:p w:rsidR="00453834" w:rsidRPr="002D2777" w:rsidRDefault="00453834" w:rsidP="00314A2C">
      <w:pPr>
        <w:spacing w:before="240"/>
        <w:jc w:val="both"/>
      </w:pPr>
      <w:r>
        <w:t xml:space="preserve">При использовании препарата исследователи обнаружили явную тенденцию уменьшения </w:t>
      </w:r>
      <w:hyperlink r:id="rId7" w:tooltip="Показать примеры употребления" w:history="1">
        <w:r>
          <w:rPr>
            <w:rStyle w:val="translation"/>
            <w:rFonts w:ascii="Arial" w:hAnsi="Arial" w:cs="Arial"/>
            <w:color w:val="000000"/>
            <w:sz w:val="18"/>
            <w:szCs w:val="18"/>
            <w:bdr w:val="none" w:sz="0" w:space="0" w:color="auto" w:frame="1"/>
          </w:rPr>
          <w:t>эозинофилов</w:t>
        </w:r>
      </w:hyperlink>
      <w:r>
        <w:t xml:space="preserve">, общего белка и глюкоземии </w:t>
      </w:r>
      <w:r w:rsidRPr="00952680">
        <w:t>(</w:t>
      </w:r>
      <w:r>
        <w:rPr>
          <w:lang w:val="en-US"/>
        </w:rPr>
        <w:t>glucosemia</w:t>
      </w:r>
      <w:r w:rsidRPr="00E90356">
        <w:t>*</w:t>
      </w:r>
      <w:r w:rsidRPr="00952680">
        <w:t>)</w:t>
      </w:r>
      <w:r>
        <w:t xml:space="preserve"> Наблюдалась тенденция увеличения гемоглобина и мочевой кислоты, что вместе с положительной динамикой в количестве и составе </w:t>
      </w:r>
      <w:r w:rsidRPr="005B3852">
        <w:t>Т- и В- лимфоцитов</w:t>
      </w:r>
      <w:r>
        <w:t>, является показателем улучшения синтеза нуклеиновых кислот – предвестника нормализации иммунитета.</w:t>
      </w:r>
    </w:p>
    <w:p w:rsidR="00453834" w:rsidRDefault="00453834" w:rsidP="00314A2C">
      <w:pPr>
        <w:spacing w:before="240"/>
        <w:jc w:val="both"/>
      </w:pPr>
      <w:r>
        <w:t>Основываясь на полученных данных, можно сделать вывод, что препарат ФЛОР-ЭССЕНС (</w:t>
      </w:r>
      <w:r>
        <w:rPr>
          <w:lang w:val="en-US"/>
        </w:rPr>
        <w:t>FLOR</w:t>
      </w:r>
      <w:r w:rsidRPr="00314A2C">
        <w:t xml:space="preserve"> - </w:t>
      </w:r>
      <w:r>
        <w:rPr>
          <w:lang w:val="en-US"/>
        </w:rPr>
        <w:t>ESSENCE</w:t>
      </w:r>
      <w:r>
        <w:t xml:space="preserve">) обладает иммуномодулирующим действием и оказывает положительный терапевтический эффект на пациентов, страдающих состояниями </w:t>
      </w:r>
      <w:r w:rsidRPr="00C04449">
        <w:t>вторичн</w:t>
      </w:r>
      <w:r>
        <w:t>ого</w:t>
      </w:r>
      <w:r w:rsidRPr="00C04449">
        <w:t xml:space="preserve"> иммунодефицит</w:t>
      </w:r>
      <w:r>
        <w:t>а.</w:t>
      </w:r>
    </w:p>
    <w:p w:rsidR="00453834" w:rsidRDefault="00453834" w:rsidP="00314A2C">
      <w:pPr>
        <w:spacing w:before="240"/>
        <w:jc w:val="both"/>
      </w:pPr>
      <w:r>
        <w:t>Также следует отметить, что на фоне лечения данным препаратом, наблюдалось уменьшение числа субъективных жалоб пациентов, страдающих желудочно-кишечными заболеваниями, по сравнению с контрольной группой (Таблица 03)</w:t>
      </w:r>
    </w:p>
    <w:p w:rsidR="00453834" w:rsidRDefault="00453834" w:rsidP="00314A2C">
      <w:pPr>
        <w:spacing w:before="240"/>
        <w:jc w:val="both"/>
        <w:rPr>
          <w:b/>
        </w:rPr>
      </w:pPr>
      <w:r w:rsidRPr="00E46CA1">
        <w:rPr>
          <w:b/>
        </w:rPr>
        <w:t>Таблица 0</w:t>
      </w:r>
      <w:r>
        <w:rPr>
          <w:b/>
        </w:rPr>
        <w:t>3</w:t>
      </w:r>
      <w:r w:rsidRPr="00E46CA1">
        <w:rPr>
          <w:b/>
        </w:rPr>
        <w:t>. Динамика</w:t>
      </w:r>
      <w:r>
        <w:rPr>
          <w:b/>
        </w:rPr>
        <w:t xml:space="preserve"> субъективных индикаторов у пациентов</w:t>
      </w:r>
      <w:r w:rsidRPr="00E46CA1">
        <w:rPr>
          <w:b/>
        </w:rPr>
        <w:t xml:space="preserve"> (При лечении препаратом ФЛОР-ЭССЕНС (FLOR - ESSENCE))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2268"/>
        <w:gridCol w:w="2942"/>
      </w:tblGrid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 xml:space="preserve">Жалобы 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>До лечения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  <w:rPr>
                <w:b/>
              </w:rPr>
            </w:pPr>
            <w:r w:rsidRPr="006A3073">
              <w:rPr>
                <w:b/>
              </w:rPr>
              <w:t>После 30 дней лечения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Боли в надчревной области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Тяжесть после еды в надчревной области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Тошнота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Изжога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Горечь во рту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Ощущение жжения  в надчревной области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Дегтеобразный стул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Общая слабость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Запор 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8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Диарея 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Метеоризм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</w:t>
            </w:r>
          </w:p>
        </w:tc>
      </w:tr>
      <w:tr w:rsidR="00453834" w:rsidRPr="006A3073" w:rsidTr="006A3073">
        <w:tc>
          <w:tcPr>
            <w:tcW w:w="4361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Боль в области толстого кишечника</w:t>
            </w:r>
          </w:p>
        </w:tc>
        <w:tc>
          <w:tcPr>
            <w:tcW w:w="2268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</w:t>
            </w:r>
          </w:p>
        </w:tc>
        <w:tc>
          <w:tcPr>
            <w:tcW w:w="294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</w:t>
            </w:r>
          </w:p>
        </w:tc>
      </w:tr>
    </w:tbl>
    <w:p w:rsidR="00453834" w:rsidRDefault="00453834" w:rsidP="00314A2C">
      <w:pPr>
        <w:spacing w:before="240"/>
        <w:jc w:val="both"/>
      </w:pPr>
      <w:r>
        <w:t>Следует отметить, что у одной пациентки была диарея до начала курса лечения. Количество дефекаций было 10 раз в день. После начала принятия препарата количество дефекаций уменьшилось до 5, стул стал более твердый.</w:t>
      </w:r>
    </w:p>
    <w:p w:rsidR="00453834" w:rsidRDefault="00453834" w:rsidP="00314A2C">
      <w:pPr>
        <w:spacing w:before="240"/>
        <w:jc w:val="both"/>
      </w:pPr>
      <w:r>
        <w:t xml:space="preserve">Т.о. исследователи наблюдали уменьшение или полное устранение признаков расстройства пищеварения у пациентов, получающих </w:t>
      </w:r>
      <w:r w:rsidRPr="007C636E">
        <w:t>препарат ФЛОР-ЭССЕНС (FLOR - ESSENCE)</w:t>
      </w:r>
      <w:r>
        <w:t>.</w:t>
      </w:r>
    </w:p>
    <w:p w:rsidR="00453834" w:rsidRDefault="00453834" w:rsidP="00314A2C">
      <w:pPr>
        <w:spacing w:before="240"/>
        <w:jc w:val="both"/>
      </w:pPr>
      <w:r>
        <w:t>Во время эндоскопического исследования исследователи также отметили положительную динамику. Например, эпитализация язвы и эрозии наблюдалась на ранних стадиях по сравнению с</w:t>
      </w: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  <w:r>
        <w:t>острыми стадиями язвы, которые были у этих пациентов, и по сравнению с контрольной группой пациентов с обострениями язвенной болезни.</w:t>
      </w:r>
    </w:p>
    <w:p w:rsidR="00453834" w:rsidRDefault="00453834" w:rsidP="00314A2C">
      <w:pPr>
        <w:spacing w:before="240"/>
        <w:jc w:val="both"/>
      </w:pPr>
      <w:r>
        <w:t xml:space="preserve">В общем, пациенты хорошо перенесли прием препарата. Однако у троих из них исследователи наблюдали небольшую папулезную сыпь в области предплечий (крапивница), но данный эффект был остановлен путем назначения пациентам антигистаминных препаратов, не прекращая прием препарата </w:t>
      </w:r>
      <w:r w:rsidRPr="007C636E">
        <w:t>ФЛОР-ЭССЕНС (FLOR - ESSENCE)</w:t>
      </w:r>
      <w:r>
        <w:t xml:space="preserve">. Поэтому данный эффект не может быть связан с тем, что пациенты принимали препарат </w:t>
      </w:r>
      <w:r w:rsidRPr="007C636E">
        <w:t>ФЛОР-ЭССЕНС (FLOR - ESSENCE)</w:t>
      </w:r>
      <w:r>
        <w:t>.</w:t>
      </w:r>
    </w:p>
    <w:p w:rsidR="00453834" w:rsidRDefault="00453834" w:rsidP="00314A2C">
      <w:pPr>
        <w:spacing w:before="240"/>
        <w:jc w:val="both"/>
      </w:pPr>
      <w:r>
        <w:t xml:space="preserve">Т.о. препарат </w:t>
      </w:r>
      <w:r w:rsidRPr="007C636E">
        <w:t>ФЛОР-ЭССЕНС (FLOR - ESSENCE)</w:t>
      </w:r>
      <w:r>
        <w:t>, производимый компанией Флора (Канада) может быть рекомендован для использования в комплексном терапевтическом лечении как иммуномодулирующий, общеукрепляющий, улучшающий сопротивляемость препарат для лечения хронических заболеваний с вторичным иммунодефицитом. Также он может быть использован как дополнительный компонент для основного лечения хронических желудочно-кишечных заболеваний.</w:t>
      </w: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Pr="00B81379" w:rsidRDefault="00453834" w:rsidP="00314A2C">
      <w:pPr>
        <w:spacing w:before="240"/>
        <w:jc w:val="both"/>
        <w:rPr>
          <w:b/>
        </w:rPr>
      </w:pPr>
      <w:r w:rsidRPr="00B81379">
        <w:rPr>
          <w:b/>
        </w:rPr>
        <w:t>Показатели гемограммы пациентов, принимающих «Чай» (количество =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453834" w:rsidRPr="006A3073" w:rsidTr="006A3073">
        <w:tc>
          <w:tcPr>
            <w:tcW w:w="2392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Показатели</w:t>
            </w:r>
          </w:p>
        </w:tc>
        <w:tc>
          <w:tcPr>
            <w:tcW w:w="4786" w:type="dxa"/>
            <w:gridSpan w:val="2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М+/-м</w:t>
            </w:r>
          </w:p>
        </w:tc>
        <w:tc>
          <w:tcPr>
            <w:tcW w:w="2393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Норма </w:t>
            </w:r>
          </w:p>
        </w:tc>
      </w:tr>
      <w:tr w:rsidR="00453834" w:rsidRPr="006A3073" w:rsidTr="006A3073">
        <w:tc>
          <w:tcPr>
            <w:tcW w:w="2392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До 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После </w:t>
            </w:r>
          </w:p>
        </w:tc>
        <w:tc>
          <w:tcPr>
            <w:tcW w:w="2393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Гемоглобин (г/л)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134,1+/-3,9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133,6+/-5,3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120-160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Эритроциты (х 10</w:t>
            </w:r>
            <w:r w:rsidRPr="006A3073">
              <w:rPr>
                <w:vertAlign w:val="superscript"/>
              </w:rPr>
              <w:t>12</w:t>
            </w:r>
            <w:r w:rsidRPr="006A3073">
              <w:t>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4,55+/-0,13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4,43+/-0,15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3,9-5,0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Тромбоциты (х 10</w:t>
            </w:r>
            <w:r w:rsidRPr="006A3073">
              <w:rPr>
                <w:vertAlign w:val="superscript"/>
              </w:rPr>
              <w:t>09</w:t>
            </w:r>
            <w:r w:rsidRPr="006A3073">
              <w:t>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296,7+/-22,9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247,1+/-21,3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180-320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Лейкоциты (х 10</w:t>
            </w:r>
            <w:r w:rsidRPr="006A3073">
              <w:rPr>
                <w:vertAlign w:val="superscript"/>
              </w:rPr>
              <w:t>09</w:t>
            </w:r>
            <w:r w:rsidRPr="006A3073">
              <w:t>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6,17+/-0,70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7,27+/-0,75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4,0-9,0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Эозинофилы (%)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4,18+/-0,59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3,68+/-0,88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0,5-5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Лимфоциты (%)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34,2+/-2,0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33,6+/-1,9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19-37</w:t>
            </w:r>
          </w:p>
        </w:tc>
      </w:tr>
    </w:tbl>
    <w:p w:rsidR="00453834" w:rsidRPr="00B81379" w:rsidRDefault="00453834" w:rsidP="00B81379">
      <w:pPr>
        <w:spacing w:before="240"/>
        <w:jc w:val="both"/>
        <w:rPr>
          <w:b/>
        </w:rPr>
      </w:pPr>
      <w:r w:rsidRPr="00B81379">
        <w:rPr>
          <w:b/>
        </w:rPr>
        <w:t>Показатели гемограммы пациентов</w:t>
      </w:r>
      <w:r>
        <w:rPr>
          <w:b/>
        </w:rPr>
        <w:t xml:space="preserve"> контрольной группы</w:t>
      </w:r>
      <w:r w:rsidRPr="00B81379">
        <w:rPr>
          <w:b/>
        </w:rPr>
        <w:t xml:space="preserve"> (количество = 1</w:t>
      </w:r>
      <w:r>
        <w:rPr>
          <w:b/>
        </w:rPr>
        <w:t>0</w:t>
      </w:r>
      <w:r w:rsidRPr="00B81379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453834" w:rsidRPr="006A3073" w:rsidTr="006A3073">
        <w:tc>
          <w:tcPr>
            <w:tcW w:w="2392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Показатели</w:t>
            </w:r>
          </w:p>
        </w:tc>
        <w:tc>
          <w:tcPr>
            <w:tcW w:w="4786" w:type="dxa"/>
            <w:gridSpan w:val="2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М+/-м</w:t>
            </w:r>
          </w:p>
        </w:tc>
        <w:tc>
          <w:tcPr>
            <w:tcW w:w="2393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Норма </w:t>
            </w:r>
          </w:p>
        </w:tc>
      </w:tr>
      <w:tr w:rsidR="00453834" w:rsidRPr="006A3073" w:rsidTr="006A3073">
        <w:tc>
          <w:tcPr>
            <w:tcW w:w="2392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До 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После </w:t>
            </w:r>
          </w:p>
        </w:tc>
        <w:tc>
          <w:tcPr>
            <w:tcW w:w="2393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Гемоглобин (г/л)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145,8+/-2,5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143,8+/-2,2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120-160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Эритроциты (х 10</w:t>
            </w:r>
            <w:r w:rsidRPr="006A3073">
              <w:rPr>
                <w:vertAlign w:val="superscript"/>
              </w:rPr>
              <w:t>12</w:t>
            </w:r>
            <w:r w:rsidRPr="006A3073">
              <w:t>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4,54+/-0,09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4,59+/-0,07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3,9-5,0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Тромбоциты (х 10</w:t>
            </w:r>
            <w:r w:rsidRPr="006A3073">
              <w:rPr>
                <w:vertAlign w:val="superscript"/>
              </w:rPr>
              <w:t>09</w:t>
            </w:r>
            <w:r w:rsidRPr="006A3073">
              <w:t>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274,6+/-27,4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284,3+/-30,5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180-320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Лейкоциты (х 10</w:t>
            </w:r>
            <w:r w:rsidRPr="006A3073">
              <w:rPr>
                <w:vertAlign w:val="superscript"/>
              </w:rPr>
              <w:t>09</w:t>
            </w:r>
            <w:r w:rsidRPr="006A3073">
              <w:t>/л)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4,74+/-0,40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6,22+/-0,48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4,0-9,0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Эозинофилы (%)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2,45+/-0,51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2,55+/-0,52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0,5-5</w:t>
            </w:r>
          </w:p>
        </w:tc>
      </w:tr>
      <w:tr w:rsidR="00453834" w:rsidRPr="006A3073" w:rsidTr="006A3073">
        <w:tc>
          <w:tcPr>
            <w:tcW w:w="2392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Лимфоциты (%)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30,9+/-2,9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34,2+/-2,0</w:t>
            </w:r>
          </w:p>
        </w:tc>
        <w:tc>
          <w:tcPr>
            <w:tcW w:w="239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19-37</w:t>
            </w:r>
          </w:p>
        </w:tc>
      </w:tr>
    </w:tbl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Pr="00B81379" w:rsidRDefault="00453834" w:rsidP="00B81379">
      <w:pPr>
        <w:spacing w:before="240"/>
        <w:jc w:val="both"/>
        <w:rPr>
          <w:b/>
        </w:rPr>
      </w:pPr>
      <w:r w:rsidRPr="00B81379">
        <w:rPr>
          <w:b/>
        </w:rPr>
        <w:t xml:space="preserve">Показатели </w:t>
      </w:r>
      <w:r>
        <w:rPr>
          <w:b/>
        </w:rPr>
        <w:t>биохимического анализа крови</w:t>
      </w:r>
      <w:r w:rsidRPr="00B81379">
        <w:rPr>
          <w:b/>
        </w:rPr>
        <w:t xml:space="preserve"> пациентов, принимающих «Чай» (количество =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559"/>
        <w:gridCol w:w="1883"/>
        <w:gridCol w:w="2335"/>
      </w:tblGrid>
      <w:tr w:rsidR="00453834" w:rsidRPr="006A3073" w:rsidTr="006A3073">
        <w:tc>
          <w:tcPr>
            <w:tcW w:w="3794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Показатели</w:t>
            </w:r>
          </w:p>
        </w:tc>
        <w:tc>
          <w:tcPr>
            <w:tcW w:w="3442" w:type="dxa"/>
            <w:gridSpan w:val="2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М+/-м</w:t>
            </w:r>
          </w:p>
        </w:tc>
        <w:tc>
          <w:tcPr>
            <w:tcW w:w="2335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Норма </w:t>
            </w:r>
          </w:p>
        </w:tc>
      </w:tr>
      <w:tr w:rsidR="00453834" w:rsidRPr="006A3073" w:rsidTr="006A3073">
        <w:tc>
          <w:tcPr>
            <w:tcW w:w="3794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До 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После </w:t>
            </w:r>
          </w:p>
        </w:tc>
        <w:tc>
          <w:tcPr>
            <w:tcW w:w="2335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Белок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66,5+/-1,6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69,9+/-1,6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60-80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rPr>
                <w:rFonts w:cs="Calibri"/>
              </w:rPr>
              <w:t>Билирубин 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13,6+/-1,5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12,5+/-1,2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2,0-20,0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АЛТ (Аланинаминотрансфераза) (ед/л)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15,8+/-2,3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18,4+/-2,3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0-45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ACT (Аспартатаминотрансфераза) (ед/л)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21,6+/-1,6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20,9+/-1,4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0-45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Креатинин</w:t>
            </w:r>
            <w:r>
              <w:t xml:space="preserve">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63,4+/-4,9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56,1+/-4,4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40-65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Холестерол</w:t>
            </w:r>
            <w:r>
              <w:t xml:space="preserve">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5,73+/-0,38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5,35+/-0,46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3,4-7,2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Глюкоза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5,50+/-0,42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4,69+/-0,23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3,9-5,8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Мочевая Кислота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430,3+/-23,0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364,7+/-61,7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150-360</w:t>
            </w:r>
          </w:p>
        </w:tc>
      </w:tr>
    </w:tbl>
    <w:p w:rsidR="00453834" w:rsidRPr="00B81379" w:rsidRDefault="00453834" w:rsidP="00063FF3">
      <w:pPr>
        <w:spacing w:before="240"/>
        <w:jc w:val="both"/>
        <w:rPr>
          <w:b/>
        </w:rPr>
      </w:pPr>
      <w:r w:rsidRPr="00B81379">
        <w:rPr>
          <w:b/>
        </w:rPr>
        <w:t xml:space="preserve">Показатели </w:t>
      </w:r>
      <w:r>
        <w:rPr>
          <w:b/>
        </w:rPr>
        <w:t>биохимического анализа крови</w:t>
      </w:r>
      <w:r w:rsidRPr="00B81379">
        <w:rPr>
          <w:b/>
        </w:rPr>
        <w:t xml:space="preserve"> пациентов</w:t>
      </w:r>
      <w:r>
        <w:rPr>
          <w:b/>
        </w:rPr>
        <w:t xml:space="preserve"> контрольной группы</w:t>
      </w:r>
      <w:r w:rsidRPr="00B81379">
        <w:rPr>
          <w:b/>
        </w:rPr>
        <w:t xml:space="preserve"> (количество = 1</w:t>
      </w:r>
      <w:r>
        <w:rPr>
          <w:b/>
        </w:rPr>
        <w:t>0</w:t>
      </w:r>
      <w:r w:rsidRPr="00B81379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559"/>
        <w:gridCol w:w="1883"/>
        <w:gridCol w:w="2335"/>
      </w:tblGrid>
      <w:tr w:rsidR="00453834" w:rsidRPr="006A3073" w:rsidTr="006A3073">
        <w:tc>
          <w:tcPr>
            <w:tcW w:w="3794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Показатели</w:t>
            </w:r>
          </w:p>
        </w:tc>
        <w:tc>
          <w:tcPr>
            <w:tcW w:w="3442" w:type="dxa"/>
            <w:gridSpan w:val="2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М+/-м</w:t>
            </w:r>
          </w:p>
        </w:tc>
        <w:tc>
          <w:tcPr>
            <w:tcW w:w="2335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Норма </w:t>
            </w:r>
          </w:p>
        </w:tc>
      </w:tr>
      <w:tr w:rsidR="00453834" w:rsidRPr="006A3073" w:rsidTr="006A3073">
        <w:tc>
          <w:tcPr>
            <w:tcW w:w="3794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До 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После </w:t>
            </w:r>
          </w:p>
        </w:tc>
        <w:tc>
          <w:tcPr>
            <w:tcW w:w="2335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Белок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72,5+/-2,1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69,3+/-1,8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60-80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rPr>
                <w:rFonts w:cs="Calibri"/>
              </w:rPr>
              <w:t>Билирубин 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15,9+/-2,4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15,2+/-1,6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2,0-20,0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АЛТ (Аланинаминотрансфераза) (ед/л)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37,1+/-4,2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39,0+/-5,1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0-45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ACT (Аспартатаминотрансфераза) (ед/л)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31,2+/-3,0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29,9+/-2,7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0-45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Креатинин</w:t>
            </w:r>
            <w:r>
              <w:t xml:space="preserve">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74,9+/-12,5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71,6+/-9,0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40-65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Холестерол</w:t>
            </w:r>
            <w:r>
              <w:t xml:space="preserve">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5,48+/-0,48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5,72+/-0,36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3,4-7,2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Глюкоза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4,66+/-0,15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4,82+/-0,27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3,9-5,8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Мочевая Кислота </w:t>
            </w:r>
            <w:r w:rsidRPr="006A3073">
              <w:rPr>
                <w:rFonts w:cs="Calibri"/>
              </w:rPr>
              <w:t>(③ моль/л)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386,4+/-22,2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307,1+/-17,4</w:t>
            </w:r>
          </w:p>
        </w:tc>
        <w:tc>
          <w:tcPr>
            <w:tcW w:w="2335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150-360</w:t>
            </w:r>
          </w:p>
        </w:tc>
      </w:tr>
    </w:tbl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Pr="00B81379" w:rsidRDefault="00453834" w:rsidP="00063FF3">
      <w:pPr>
        <w:spacing w:before="240"/>
        <w:jc w:val="both"/>
        <w:rPr>
          <w:b/>
        </w:rPr>
      </w:pPr>
      <w:r w:rsidRPr="00B81379">
        <w:rPr>
          <w:b/>
        </w:rPr>
        <w:t xml:space="preserve">Показатели </w:t>
      </w:r>
      <w:r>
        <w:rPr>
          <w:b/>
        </w:rPr>
        <w:t>биохимического анализа крови</w:t>
      </w:r>
      <w:r w:rsidRPr="00B81379">
        <w:rPr>
          <w:b/>
        </w:rPr>
        <w:t xml:space="preserve"> пациентов, принимающих «Чай» (количество = 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559"/>
        <w:gridCol w:w="1883"/>
      </w:tblGrid>
      <w:tr w:rsidR="00453834" w:rsidRPr="006A3073" w:rsidTr="006A3073">
        <w:tc>
          <w:tcPr>
            <w:tcW w:w="3794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Показатели</w:t>
            </w:r>
          </w:p>
        </w:tc>
        <w:tc>
          <w:tcPr>
            <w:tcW w:w="3442" w:type="dxa"/>
            <w:gridSpan w:val="2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М+/-м</w:t>
            </w:r>
          </w:p>
        </w:tc>
      </w:tr>
      <w:tr w:rsidR="00453834" w:rsidRPr="006A3073" w:rsidTr="006A3073">
        <w:tc>
          <w:tcPr>
            <w:tcW w:w="3794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До 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После 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СД 4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56,0+/-4,3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45,8+/-9,8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СД 8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26,3+/-2,3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24,7+/-8,1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Иммуноглобулин </w:t>
            </w:r>
            <w:r w:rsidRPr="006A3073">
              <w:rPr>
                <w:lang w:val="en-US"/>
              </w:rPr>
              <w:t xml:space="preserve">G </w:t>
            </w:r>
            <w:r w:rsidRPr="006A3073">
              <w:t>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12,8+/-0,5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12,1+/-0,4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Иммуноглобулин А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1,80+/-0,14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1,83+/-0,27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Иммуноглобулин М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2,00+/-0,06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1,97+/-0,11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ЦИК (Циркулирующие иммунные комплексы)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0,096+/-0,009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0,112+/-0,021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Фагоцитарное число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68,0+/-4,8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76,5+/-5,9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Фагоцитарный индекс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5,03+/-0,79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4,83+/-0,43</w:t>
            </w:r>
          </w:p>
        </w:tc>
      </w:tr>
    </w:tbl>
    <w:p w:rsidR="00453834" w:rsidRDefault="00453834" w:rsidP="00314A2C">
      <w:pPr>
        <w:spacing w:before="240"/>
        <w:jc w:val="both"/>
      </w:pPr>
    </w:p>
    <w:p w:rsidR="00453834" w:rsidRPr="00B81379" w:rsidRDefault="00453834" w:rsidP="00063FF3">
      <w:pPr>
        <w:spacing w:before="240"/>
        <w:jc w:val="both"/>
        <w:rPr>
          <w:b/>
        </w:rPr>
      </w:pPr>
      <w:r w:rsidRPr="00B81379">
        <w:rPr>
          <w:b/>
        </w:rPr>
        <w:t xml:space="preserve">Показатели </w:t>
      </w:r>
      <w:r>
        <w:rPr>
          <w:b/>
        </w:rPr>
        <w:t>биохимического анализа крови</w:t>
      </w:r>
      <w:r w:rsidRPr="00B81379">
        <w:rPr>
          <w:b/>
        </w:rPr>
        <w:t xml:space="preserve"> пациентов</w:t>
      </w:r>
      <w:r>
        <w:rPr>
          <w:b/>
        </w:rPr>
        <w:t xml:space="preserve"> контрольной группы</w:t>
      </w:r>
      <w:r w:rsidRPr="00B81379">
        <w:rPr>
          <w:b/>
        </w:rPr>
        <w:t xml:space="preserve"> (количество = 1</w:t>
      </w:r>
      <w:r>
        <w:rPr>
          <w:b/>
        </w:rPr>
        <w:t>0</w:t>
      </w:r>
      <w:r w:rsidRPr="00B81379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559"/>
        <w:gridCol w:w="1883"/>
      </w:tblGrid>
      <w:tr w:rsidR="00453834" w:rsidRPr="006A3073" w:rsidTr="006A3073">
        <w:tc>
          <w:tcPr>
            <w:tcW w:w="3794" w:type="dxa"/>
            <w:vMerge w:val="restart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Показатели</w:t>
            </w:r>
          </w:p>
        </w:tc>
        <w:tc>
          <w:tcPr>
            <w:tcW w:w="3442" w:type="dxa"/>
            <w:gridSpan w:val="2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М+/-м</w:t>
            </w:r>
          </w:p>
        </w:tc>
      </w:tr>
      <w:tr w:rsidR="00453834" w:rsidRPr="006A3073" w:rsidTr="006A3073">
        <w:tc>
          <w:tcPr>
            <w:tcW w:w="3794" w:type="dxa"/>
            <w:vMerge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До 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После 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СД 4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40,3+/-4,2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40,7+/-3,4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СД 8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28,0+/-2,1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31,3+/-4,8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 xml:space="preserve">Иммуноглобулин </w:t>
            </w:r>
            <w:r w:rsidRPr="006A3073">
              <w:rPr>
                <w:lang w:val="en-US"/>
              </w:rPr>
              <w:t xml:space="preserve">G </w:t>
            </w:r>
            <w:r w:rsidRPr="006A3073">
              <w:t>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11,4+/-1,0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11,1+/-0,7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Иммуноглобулин А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2,14+/-0,18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2,15+/-0,21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Иммуноглобулин М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1,39+/-0,17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1,33+/-0,18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ЦИК* (Циркулирующие иммунные комплексы) (г/л)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0,077+/-0,012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0,095+/-0,005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Фагоцитарное число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61,3+/-5,1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63,0+/-4,0</w:t>
            </w:r>
          </w:p>
        </w:tc>
      </w:tr>
      <w:tr w:rsidR="00453834" w:rsidRPr="006A3073" w:rsidTr="006A3073">
        <w:tc>
          <w:tcPr>
            <w:tcW w:w="3794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Фагоцитарный индекс (%)</w:t>
            </w:r>
          </w:p>
        </w:tc>
        <w:tc>
          <w:tcPr>
            <w:tcW w:w="1559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5,17+/-0,66</w:t>
            </w:r>
          </w:p>
        </w:tc>
        <w:tc>
          <w:tcPr>
            <w:tcW w:w="1883" w:type="dxa"/>
          </w:tcPr>
          <w:p w:rsidR="00453834" w:rsidRPr="006A3073" w:rsidRDefault="00453834" w:rsidP="006A3073">
            <w:pPr>
              <w:spacing w:after="0" w:line="240" w:lineRule="auto"/>
              <w:jc w:val="both"/>
            </w:pPr>
            <w:r w:rsidRPr="006A3073">
              <w:t>4,10+/-0,47</w:t>
            </w:r>
          </w:p>
        </w:tc>
      </w:tr>
    </w:tbl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</w:p>
    <w:p w:rsidR="00453834" w:rsidRDefault="00453834" w:rsidP="00314A2C">
      <w:pPr>
        <w:spacing w:before="240"/>
        <w:jc w:val="both"/>
      </w:pPr>
      <w:r>
        <w:rPr>
          <w:color w:val="000000"/>
          <w:shd w:val="clear" w:color="auto" w:fill="FFFFFF"/>
        </w:rPr>
        <w:t>Медицинский радиологический научный центр РАМН</w:t>
      </w:r>
    </w:p>
    <w:p w:rsidR="00453834" w:rsidRDefault="00453834" w:rsidP="00314A2C">
      <w:pPr>
        <w:spacing w:before="240"/>
        <w:jc w:val="both"/>
      </w:pPr>
      <w:r>
        <w:t>Список работников, которые участвовали в клинических исследованиях препарата «Травяной Чай»</w:t>
      </w:r>
    </w:p>
    <w:p w:rsidR="00453834" w:rsidRDefault="00453834" w:rsidP="00314A2C">
      <w:pPr>
        <w:spacing w:before="240"/>
        <w:jc w:val="both"/>
      </w:pPr>
      <w:r>
        <w:t>Руководитель исследования:</w:t>
      </w:r>
    </w:p>
    <w:p w:rsidR="00453834" w:rsidRDefault="00453834" w:rsidP="00314A2C">
      <w:pPr>
        <w:spacing w:before="240"/>
        <w:jc w:val="both"/>
      </w:pPr>
      <w:r>
        <w:t>А.Ф. Цыб</w:t>
      </w:r>
    </w:p>
    <w:p w:rsidR="00453834" w:rsidRDefault="00453834" w:rsidP="00314A2C">
      <w:pPr>
        <w:spacing w:before="240"/>
        <w:jc w:val="both"/>
      </w:pPr>
      <w:r>
        <w:t>Исполнители:</w:t>
      </w:r>
    </w:p>
    <w:p w:rsidR="00453834" w:rsidRDefault="00453834" w:rsidP="00314A2C">
      <w:pPr>
        <w:spacing w:before="240"/>
        <w:jc w:val="both"/>
      </w:pPr>
      <w:r>
        <w:t>Каплан М.А.</w:t>
      </w:r>
    </w:p>
    <w:p w:rsidR="00453834" w:rsidRDefault="00453834" w:rsidP="00314A2C">
      <w:pPr>
        <w:spacing w:before="240"/>
        <w:jc w:val="both"/>
      </w:pPr>
      <w:r>
        <w:t>Матвеева Н.П.</w:t>
      </w:r>
    </w:p>
    <w:p w:rsidR="00453834" w:rsidRDefault="00453834" w:rsidP="00314A2C">
      <w:pPr>
        <w:spacing w:before="240"/>
        <w:jc w:val="both"/>
      </w:pPr>
      <w:r>
        <w:t>Поповкина О.Е.</w:t>
      </w:r>
    </w:p>
    <w:p w:rsidR="00453834" w:rsidRDefault="00453834" w:rsidP="00314A2C">
      <w:pPr>
        <w:spacing w:before="240"/>
        <w:jc w:val="both"/>
      </w:pPr>
      <w:r>
        <w:t>Власенко М.В.</w:t>
      </w:r>
    </w:p>
    <w:p w:rsidR="00453834" w:rsidRDefault="00453834" w:rsidP="00314A2C">
      <w:pPr>
        <w:spacing w:before="240"/>
        <w:jc w:val="both"/>
      </w:pPr>
      <w:r>
        <w:t>Царева Н.А.</w:t>
      </w:r>
    </w:p>
    <w:p w:rsidR="00453834" w:rsidRDefault="00453834" w:rsidP="00314A2C">
      <w:pPr>
        <w:spacing w:before="240"/>
        <w:jc w:val="both"/>
      </w:pPr>
      <w:r>
        <w:t>Говердовская И.В.</w:t>
      </w:r>
    </w:p>
    <w:p w:rsidR="00453834" w:rsidRDefault="00453834" w:rsidP="00314A2C">
      <w:pPr>
        <w:spacing w:before="240"/>
        <w:jc w:val="both"/>
      </w:pPr>
      <w:r>
        <w:t>Сокол Н.И.</w:t>
      </w:r>
    </w:p>
    <w:p w:rsidR="00453834" w:rsidRDefault="00453834" w:rsidP="00314A2C">
      <w:pPr>
        <w:spacing w:before="240"/>
        <w:jc w:val="both"/>
      </w:pPr>
      <w:r>
        <w:t>Лебедев Я.А.</w:t>
      </w:r>
    </w:p>
    <w:p w:rsidR="00453834" w:rsidRDefault="00453834" w:rsidP="00314A2C">
      <w:pPr>
        <w:spacing w:before="240"/>
        <w:jc w:val="both"/>
      </w:pPr>
      <w:r>
        <w:t>Профессор Каплан М.А., Руководитель,</w:t>
      </w:r>
    </w:p>
    <w:p w:rsidR="00453834" w:rsidRDefault="00453834" w:rsidP="00314A2C">
      <w:pPr>
        <w:spacing w:before="240"/>
        <w:jc w:val="both"/>
      </w:pPr>
      <w:r>
        <w:t>Отдел Лазерной и Фотодинамической терапии</w:t>
      </w:r>
    </w:p>
    <w:p w:rsidR="00453834" w:rsidRDefault="00453834" w:rsidP="00314A2C">
      <w:pPr>
        <w:spacing w:before="240"/>
        <w:jc w:val="both"/>
      </w:pPr>
      <w:r>
        <w:t>Подпись (неразборчиво)</w:t>
      </w:r>
    </w:p>
    <w:p w:rsidR="00453834" w:rsidRDefault="00453834" w:rsidP="00314A2C">
      <w:pPr>
        <w:spacing w:before="240"/>
        <w:jc w:val="both"/>
      </w:pPr>
      <w:r>
        <w:t>*Переводчик не уверен в переводе данного слова</w:t>
      </w:r>
    </w:p>
    <w:p w:rsidR="00453834" w:rsidRPr="00952680" w:rsidRDefault="00453834" w:rsidP="00952680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453834" w:rsidRPr="00952680" w:rsidRDefault="00453834" w:rsidP="0095268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952680">
        <w:rPr>
          <w:rFonts w:ascii="Times New Roman" w:eastAsia="MS Mincho" w:hAnsi="Times New Roman"/>
          <w:sz w:val="24"/>
          <w:szCs w:val="24"/>
          <w:lang w:eastAsia="ja-JP"/>
        </w:rPr>
        <w:t>Перевод с английского языка на русский язык выполнен переводчиком</w:t>
      </w:r>
    </w:p>
    <w:p w:rsidR="00453834" w:rsidRPr="00952680" w:rsidRDefault="00453834" w:rsidP="00952680">
      <w:pPr>
        <w:spacing w:after="0" w:line="240" w:lineRule="auto"/>
        <w:rPr>
          <w:sz w:val="24"/>
          <w:szCs w:val="24"/>
        </w:rPr>
      </w:pPr>
      <w:r w:rsidRPr="00952680">
        <w:rPr>
          <w:rFonts w:ascii="Times New Roman" w:eastAsia="MS Mincho" w:hAnsi="Times New Roman"/>
          <w:sz w:val="24"/>
          <w:szCs w:val="24"/>
          <w:lang w:eastAsia="ja-JP"/>
        </w:rPr>
        <w:t>Михайловой Ольгой Владимировной</w:t>
      </w:r>
    </w:p>
    <w:p w:rsidR="00453834" w:rsidRPr="00952680" w:rsidRDefault="00453834" w:rsidP="00952680">
      <w:pPr>
        <w:jc w:val="right"/>
        <w:rPr>
          <w:rFonts w:ascii="Times New Roman" w:hAnsi="Times New Roman"/>
        </w:rPr>
      </w:pPr>
    </w:p>
    <w:p w:rsidR="00453834" w:rsidRPr="00952680" w:rsidRDefault="00453834" w:rsidP="009526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53834" w:rsidRPr="00C42980" w:rsidRDefault="00453834" w:rsidP="00314A2C">
      <w:pPr>
        <w:spacing w:before="240"/>
        <w:jc w:val="both"/>
      </w:pPr>
      <w:bookmarkStart w:id="0" w:name="_GoBack"/>
      <w:bookmarkEnd w:id="0"/>
    </w:p>
    <w:sectPr w:rsidR="00453834" w:rsidRPr="00C42980" w:rsidSect="0028081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834" w:rsidRDefault="00453834" w:rsidP="00314A2C">
      <w:pPr>
        <w:spacing w:after="0" w:line="240" w:lineRule="auto"/>
      </w:pPr>
      <w:r>
        <w:separator/>
      </w:r>
    </w:p>
  </w:endnote>
  <w:endnote w:type="continuationSeparator" w:id="1">
    <w:p w:rsidR="00453834" w:rsidRDefault="00453834" w:rsidP="0031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834" w:rsidRDefault="00453834" w:rsidP="00314A2C">
      <w:pPr>
        <w:spacing w:after="0" w:line="240" w:lineRule="auto"/>
      </w:pPr>
      <w:r>
        <w:separator/>
      </w:r>
    </w:p>
  </w:footnote>
  <w:footnote w:type="continuationSeparator" w:id="1">
    <w:p w:rsidR="00453834" w:rsidRDefault="00453834" w:rsidP="0031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34" w:rsidRDefault="00453834">
    <w:pPr>
      <w:pStyle w:val="Header"/>
      <w:jc w:val="right"/>
    </w:pPr>
    <w:fldSimple w:instr="PAGE   \* MERGEFORMAT">
      <w:r>
        <w:rPr>
          <w:noProof/>
        </w:rPr>
        <w:t>1</w:t>
      </w:r>
    </w:fldSimple>
  </w:p>
  <w:p w:rsidR="00453834" w:rsidRDefault="004538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A05"/>
    <w:rsid w:val="00023A11"/>
    <w:rsid w:val="00063FF3"/>
    <w:rsid w:val="00070F36"/>
    <w:rsid w:val="00074211"/>
    <w:rsid w:val="000977E1"/>
    <w:rsid w:val="000D0621"/>
    <w:rsid w:val="00107901"/>
    <w:rsid w:val="00174A18"/>
    <w:rsid w:val="00196750"/>
    <w:rsid w:val="001C0B87"/>
    <w:rsid w:val="001F4607"/>
    <w:rsid w:val="0028081C"/>
    <w:rsid w:val="002D2777"/>
    <w:rsid w:val="002D61FC"/>
    <w:rsid w:val="00314A2C"/>
    <w:rsid w:val="00324EE0"/>
    <w:rsid w:val="003375DC"/>
    <w:rsid w:val="00356214"/>
    <w:rsid w:val="003A6B02"/>
    <w:rsid w:val="003C15F0"/>
    <w:rsid w:val="003D3CCE"/>
    <w:rsid w:val="00453834"/>
    <w:rsid w:val="004D2BB9"/>
    <w:rsid w:val="0059244A"/>
    <w:rsid w:val="005B3852"/>
    <w:rsid w:val="00693A05"/>
    <w:rsid w:val="006A3073"/>
    <w:rsid w:val="007221BA"/>
    <w:rsid w:val="0075030C"/>
    <w:rsid w:val="00797FB7"/>
    <w:rsid w:val="007C636E"/>
    <w:rsid w:val="007F587A"/>
    <w:rsid w:val="00812745"/>
    <w:rsid w:val="0081569A"/>
    <w:rsid w:val="00894E83"/>
    <w:rsid w:val="008A3C2F"/>
    <w:rsid w:val="008F19E6"/>
    <w:rsid w:val="0092603B"/>
    <w:rsid w:val="00952680"/>
    <w:rsid w:val="009C27D3"/>
    <w:rsid w:val="00A03062"/>
    <w:rsid w:val="00A33788"/>
    <w:rsid w:val="00A54107"/>
    <w:rsid w:val="00B0672D"/>
    <w:rsid w:val="00B81379"/>
    <w:rsid w:val="00BC0435"/>
    <w:rsid w:val="00BD2A9E"/>
    <w:rsid w:val="00C04449"/>
    <w:rsid w:val="00C35498"/>
    <w:rsid w:val="00C42980"/>
    <w:rsid w:val="00D05B0C"/>
    <w:rsid w:val="00E11464"/>
    <w:rsid w:val="00E463D3"/>
    <w:rsid w:val="00E46CA1"/>
    <w:rsid w:val="00E90356"/>
    <w:rsid w:val="00EC752F"/>
    <w:rsid w:val="00ED04AE"/>
    <w:rsid w:val="00EF5AB6"/>
    <w:rsid w:val="00F65923"/>
    <w:rsid w:val="00F74136"/>
    <w:rsid w:val="00F87E79"/>
    <w:rsid w:val="00FA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93A0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1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4A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4A2C"/>
    <w:rPr>
      <w:rFonts w:cs="Times New Roman"/>
    </w:rPr>
  </w:style>
  <w:style w:type="table" w:styleId="TableGrid">
    <w:name w:val="Table Grid"/>
    <w:basedOn w:val="TableNormal"/>
    <w:uiPriority w:val="99"/>
    <w:rsid w:val="00BC04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">
    <w:name w:val="translation"/>
    <w:basedOn w:val="DefaultParagraphFont"/>
    <w:uiPriority w:val="99"/>
    <w:rsid w:val="00E903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5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ingvo-online.ru/ru/Search/Translate/GlossaryItemExtraInfo?text=eosinophilia&amp;translation=%d1%8d%d0%be%d0%b7%d0%b8%d0%bd%d0%be%d1%84%d0%b8%d0%bb%d1%8c%d0%bd%d1%8b%d0%b9%20%d0%bb%d0%b5%d0%b9%d0%ba%d0%be%d1%86%d0%b8%d1%82%d0%be%d0%b7&amp;srcLang=en&amp;destLang=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8EE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</TotalTime>
  <Pages>9</Pages>
  <Words>1913</Words>
  <Characters>10907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29</cp:revision>
  <cp:lastPrinted>2013-06-03T12:40:00Z</cp:lastPrinted>
  <dcterms:created xsi:type="dcterms:W3CDTF">2013-05-30T08:17:00Z</dcterms:created>
  <dcterms:modified xsi:type="dcterms:W3CDTF">2013-06-04T17:18:00Z</dcterms:modified>
</cp:coreProperties>
</file>